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评审方法和评分细则</w:t>
      </w:r>
    </w:p>
    <w:p>
      <w:pPr>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一、评审方法 本项目采用综合评分法，响应文件满足磋商文件全部实质性要求且按照评审因素的量化 指标评审得分最高的供应商为成交候选人。每一供应商的最终得分为所有评委评分的算术平 均值。经采购人授权，本项目由磋商小组直接确定成交供应商，综合评分得分最高的供应商 为成交供应商。得分相同的，报价较低的一方为成交供应商。得分且报价相同的，技术指标 较优的一方为成交供应商。供应商的综合得分分值计算保留到小数点后两位数，第三位数四 舍五入；当出现分值相同情况时，则报价低者优先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评分细则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31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99"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评分因素</w:t>
            </w:r>
          </w:p>
        </w:tc>
        <w:tc>
          <w:tcPr>
            <w:tcW w:w="5316"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评分标准</w:t>
            </w:r>
          </w:p>
        </w:tc>
        <w:tc>
          <w:tcPr>
            <w:tcW w:w="1523" w:type="dxa"/>
            <w:vAlign w:val="center"/>
          </w:tcPr>
          <w:p>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399" w:type="dxa"/>
            <w:vAlign w:val="center"/>
          </w:tcPr>
          <w:p>
            <w:pPr>
              <w:jc w:val="center"/>
              <w:rPr>
                <w:rFonts w:ascii="宋体" w:hAnsi="宋体" w:eastAsia="宋体" w:cs="宋体"/>
                <w:sz w:val="24"/>
                <w:szCs w:val="24"/>
              </w:rPr>
            </w:pPr>
            <w:r>
              <w:rPr>
                <w:rFonts w:ascii="宋体" w:hAnsi="宋体" w:eastAsia="宋体" w:cs="宋体"/>
                <w:sz w:val="24"/>
                <w:szCs w:val="24"/>
              </w:rPr>
              <w:t xml:space="preserve">报价 </w:t>
            </w:r>
          </w:p>
          <w:p>
            <w:pPr>
              <w:jc w:val="center"/>
              <w:rPr>
                <w:rFonts w:hint="eastAsia" w:ascii="宋体" w:hAnsi="宋体" w:eastAsia="宋体" w:cs="宋体"/>
                <w:kern w:val="2"/>
                <w:sz w:val="24"/>
                <w:szCs w:val="24"/>
                <w:vertAlign w:val="baseline"/>
                <w:lang w:val="en-US" w:eastAsia="zh-CN" w:bidi="ar-SA"/>
              </w:rPr>
            </w:pPr>
            <w:r>
              <w:rPr>
                <w:rFonts w:ascii="宋体" w:hAnsi="宋体" w:eastAsia="宋体" w:cs="宋体"/>
                <w:sz w:val="24"/>
                <w:szCs w:val="24"/>
              </w:rPr>
              <w:t>（15分）</w:t>
            </w:r>
          </w:p>
        </w:tc>
        <w:tc>
          <w:tcPr>
            <w:tcW w:w="5316" w:type="dxa"/>
            <w:vAlign w:val="center"/>
          </w:tcPr>
          <w:p>
            <w:pPr>
              <w:jc w:val="both"/>
              <w:rPr>
                <w:rFonts w:hint="eastAsia" w:ascii="宋体" w:hAnsi="宋体" w:eastAsia="宋体" w:cs="宋体"/>
                <w:kern w:val="2"/>
                <w:sz w:val="24"/>
                <w:szCs w:val="24"/>
                <w:vertAlign w:val="baseline"/>
                <w:lang w:val="en-US" w:eastAsia="zh-CN" w:bidi="ar-SA"/>
              </w:rPr>
            </w:pPr>
            <w:r>
              <w:rPr>
                <w:rFonts w:ascii="宋体" w:hAnsi="宋体" w:eastAsia="宋体" w:cs="宋体"/>
                <w:sz w:val="24"/>
                <w:szCs w:val="24"/>
              </w:rPr>
              <w:t>以满足磋商文件要求且最后报价最低的供应商的价格为磋商基准价，其价格分为满分 15分，其他供应商的价格分统一按 照下列公式计算：磋商报价得分=（磋商基准价/最后磋商报价） ×15%×100</w:t>
            </w:r>
          </w:p>
        </w:tc>
        <w:tc>
          <w:tcPr>
            <w:tcW w:w="1523" w:type="dxa"/>
            <w:vAlign w:val="center"/>
          </w:tcPr>
          <w:p>
            <w:pPr>
              <w:jc w:val="center"/>
              <w:rPr>
                <w:rFonts w:hint="eastAsia" w:ascii="宋体" w:hAnsi="宋体" w:eastAsia="宋体" w:cs="宋体"/>
                <w:sz w:val="24"/>
                <w:szCs w:val="24"/>
                <w:vertAlign w:val="baseline"/>
                <w:lang w:eastAsia="zh-CN"/>
              </w:rPr>
            </w:pPr>
            <w:r>
              <w:rPr>
                <w:rFonts w:ascii="宋体" w:hAnsi="宋体" w:eastAsia="宋体" w:cs="宋体"/>
                <w:sz w:val="24"/>
                <w:szCs w:val="24"/>
              </w:rPr>
              <w:t>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99" w:type="dxa"/>
            <w:vMerge w:val="restart"/>
            <w:vAlign w:val="center"/>
          </w:tcPr>
          <w:p>
            <w:pPr>
              <w:jc w:val="center"/>
              <w:rPr>
                <w:rFonts w:ascii="宋体" w:hAnsi="宋体" w:eastAsia="宋体" w:cs="宋体"/>
                <w:sz w:val="24"/>
                <w:szCs w:val="24"/>
              </w:rPr>
            </w:pPr>
            <w:r>
              <w:rPr>
                <w:rFonts w:ascii="宋体" w:hAnsi="宋体" w:eastAsia="宋体" w:cs="宋体"/>
                <w:sz w:val="24"/>
                <w:szCs w:val="24"/>
              </w:rPr>
              <w:t xml:space="preserve">综合实力 </w:t>
            </w:r>
          </w:p>
          <w:p>
            <w:pPr>
              <w:jc w:val="center"/>
              <w:rPr>
                <w:rFonts w:hint="eastAsia" w:ascii="宋体" w:hAnsi="宋体" w:eastAsia="宋体" w:cs="宋体"/>
                <w:sz w:val="24"/>
                <w:szCs w:val="24"/>
                <w:vertAlign w:val="baseline"/>
                <w:lang w:eastAsia="zh-CN"/>
              </w:rPr>
            </w:pPr>
            <w:r>
              <w:rPr>
                <w:rFonts w:ascii="宋体" w:hAnsi="宋体" w:eastAsia="宋体" w:cs="宋体"/>
                <w:sz w:val="24"/>
                <w:szCs w:val="24"/>
              </w:rPr>
              <w:t>（32分）</w:t>
            </w:r>
          </w:p>
        </w:tc>
        <w:tc>
          <w:tcPr>
            <w:tcW w:w="5316" w:type="dxa"/>
            <w:vAlign w:val="center"/>
          </w:tcPr>
          <w:p>
            <w:pPr>
              <w:jc w:val="both"/>
              <w:rPr>
                <w:rFonts w:hint="eastAsia" w:ascii="宋体" w:hAnsi="宋体" w:eastAsia="宋体" w:cs="宋体"/>
                <w:sz w:val="24"/>
                <w:szCs w:val="24"/>
                <w:vertAlign w:val="baseline"/>
                <w:lang w:eastAsia="zh-CN"/>
              </w:rPr>
            </w:pPr>
            <w:r>
              <w:rPr>
                <w:rFonts w:ascii="宋体" w:hAnsi="宋体" w:eastAsia="宋体" w:cs="宋体"/>
                <w:sz w:val="24"/>
                <w:szCs w:val="24"/>
              </w:rPr>
              <w:t>根据供应商内部机构设置、日常管理制度、内控管理制度的合 理性、全面性进行综合评价，得 1-5分。</w:t>
            </w:r>
          </w:p>
        </w:tc>
        <w:tc>
          <w:tcPr>
            <w:tcW w:w="152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399" w:type="dxa"/>
            <w:vMerge w:val="continue"/>
            <w:vAlign w:val="center"/>
          </w:tcPr>
          <w:p>
            <w:pPr>
              <w:jc w:val="center"/>
              <w:rPr>
                <w:rFonts w:hint="eastAsia" w:ascii="宋体" w:hAnsi="宋体" w:eastAsia="宋体" w:cs="宋体"/>
                <w:sz w:val="24"/>
                <w:szCs w:val="24"/>
                <w:vertAlign w:val="baseline"/>
                <w:lang w:eastAsia="zh-CN"/>
              </w:rPr>
            </w:pPr>
          </w:p>
        </w:tc>
        <w:tc>
          <w:tcPr>
            <w:tcW w:w="5316" w:type="dxa"/>
            <w:vAlign w:val="center"/>
          </w:tcPr>
          <w:p>
            <w:pPr>
              <w:jc w:val="both"/>
              <w:rPr>
                <w:rFonts w:hint="eastAsia" w:ascii="宋体" w:hAnsi="宋体" w:eastAsia="宋体" w:cs="宋体"/>
                <w:sz w:val="24"/>
                <w:szCs w:val="24"/>
                <w:vertAlign w:val="baseline"/>
                <w:lang w:eastAsia="zh-CN"/>
              </w:rPr>
            </w:pPr>
            <w:r>
              <w:rPr>
                <w:rFonts w:ascii="宋体" w:hAnsi="宋体" w:eastAsia="宋体" w:cs="宋体"/>
                <w:sz w:val="24"/>
                <w:szCs w:val="24"/>
              </w:rPr>
              <w:t>对拟派项目组人员配备、职责分工、专业搭配、总体专业水平 进行综合评价，每项得 1-2分，最高得8分。</w:t>
            </w:r>
          </w:p>
        </w:tc>
        <w:tc>
          <w:tcPr>
            <w:tcW w:w="152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399" w:type="dxa"/>
            <w:vMerge w:val="continue"/>
            <w:vAlign w:val="center"/>
          </w:tcPr>
          <w:p>
            <w:pPr>
              <w:jc w:val="center"/>
              <w:rPr>
                <w:rFonts w:hint="eastAsia" w:ascii="宋体" w:hAnsi="宋体" w:eastAsia="宋体" w:cs="宋体"/>
                <w:sz w:val="24"/>
                <w:szCs w:val="24"/>
                <w:vertAlign w:val="baseline"/>
                <w:lang w:eastAsia="zh-CN"/>
              </w:rPr>
            </w:pPr>
          </w:p>
        </w:tc>
        <w:tc>
          <w:tcPr>
            <w:tcW w:w="5316" w:type="dxa"/>
            <w:vAlign w:val="center"/>
          </w:tcPr>
          <w:p>
            <w:pPr>
              <w:numPr>
                <w:ilvl w:val="0"/>
                <w:numId w:val="0"/>
              </w:numPr>
              <w:jc w:val="both"/>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承诺派出的项目负责人</w:t>
            </w:r>
            <w:r>
              <w:rPr>
                <w:rFonts w:hint="eastAsia" w:ascii="宋体" w:hAnsi="宋体" w:eastAsia="宋体" w:cs="宋体"/>
                <w:sz w:val="24"/>
                <w:szCs w:val="24"/>
                <w:lang w:val="en-US" w:eastAsia="zh-CN"/>
              </w:rPr>
              <w:t>至少具有三年相关从业经验，</w:t>
            </w:r>
            <w:r>
              <w:rPr>
                <w:rFonts w:ascii="宋体" w:hAnsi="宋体" w:eastAsia="宋体" w:cs="宋体"/>
                <w:sz w:val="24"/>
                <w:szCs w:val="24"/>
              </w:rPr>
              <w:t xml:space="preserve">具有注册会计师证书且执业8年（含）以上（5分），具有注册会计师证书且执业4年-7年（含）（3 分）。 </w:t>
            </w:r>
          </w:p>
          <w:p>
            <w:pPr>
              <w:numPr>
                <w:ilvl w:val="0"/>
                <w:numId w:val="0"/>
              </w:numPr>
              <w:jc w:val="both"/>
              <w:rPr>
                <w:rFonts w:ascii="宋体" w:hAnsi="宋体" w:eastAsia="宋体" w:cs="宋体"/>
                <w:sz w:val="24"/>
                <w:szCs w:val="24"/>
              </w:rPr>
            </w:pPr>
            <w:r>
              <w:rPr>
                <w:rFonts w:ascii="宋体" w:hAnsi="宋体" w:eastAsia="宋体" w:cs="宋体"/>
                <w:sz w:val="24"/>
                <w:szCs w:val="24"/>
              </w:rPr>
              <w:t>2.项目负责人业绩：承诺派出的项目负责人有同类业绩合同，每提供一份得1分，最高得6分。</w:t>
            </w:r>
          </w:p>
          <w:p>
            <w:pPr>
              <w:numPr>
                <w:ilvl w:val="0"/>
                <w:numId w:val="0"/>
              </w:numPr>
              <w:jc w:val="both"/>
              <w:rPr>
                <w:rFonts w:ascii="宋体" w:hAnsi="宋体" w:eastAsia="宋体" w:cs="宋体"/>
                <w:sz w:val="24"/>
                <w:szCs w:val="24"/>
              </w:rPr>
            </w:pPr>
            <w:r>
              <w:rPr>
                <w:rFonts w:ascii="宋体" w:hAnsi="宋体" w:eastAsia="宋体" w:cs="宋体"/>
                <w:sz w:val="24"/>
                <w:szCs w:val="24"/>
              </w:rPr>
              <w:t>（注：1.复印件胶装至响应文件中并加盖供应商公章，否则不得分。 2.业绩合同中须体现该项目负责人或提供相关证明材料。3.与“公司同类业绩”不重复计</w:t>
            </w:r>
            <w:bookmarkStart w:id="0" w:name="_GoBack"/>
            <w:bookmarkEnd w:id="0"/>
            <w:r>
              <w:rPr>
                <w:rFonts w:ascii="宋体" w:hAnsi="宋体" w:eastAsia="宋体" w:cs="宋体"/>
                <w:sz w:val="24"/>
                <w:szCs w:val="24"/>
              </w:rPr>
              <w:t xml:space="preserve">分。） </w:t>
            </w:r>
          </w:p>
          <w:p>
            <w:pPr>
              <w:numPr>
                <w:ilvl w:val="0"/>
                <w:numId w:val="0"/>
              </w:numPr>
              <w:jc w:val="both"/>
              <w:rPr>
                <w:rFonts w:ascii="宋体" w:hAnsi="宋体" w:eastAsia="宋体" w:cs="宋体"/>
                <w:sz w:val="24"/>
                <w:szCs w:val="24"/>
              </w:rPr>
            </w:pPr>
            <w:r>
              <w:rPr>
                <w:rFonts w:ascii="宋体" w:hAnsi="宋体" w:eastAsia="宋体" w:cs="宋体"/>
                <w:sz w:val="24"/>
                <w:szCs w:val="24"/>
              </w:rPr>
              <w:t>3.承诺派出的业务人员（不含项目负责人）具有注册会计师证书的每人得2分，</w:t>
            </w:r>
            <w:r>
              <w:rPr>
                <w:rFonts w:hint="eastAsia" w:ascii="宋体" w:hAnsi="宋体" w:eastAsia="宋体" w:cs="宋体"/>
                <w:sz w:val="24"/>
                <w:szCs w:val="24"/>
                <w:lang w:val="en-US" w:eastAsia="zh-CN"/>
              </w:rPr>
              <w:t>具有三年相关从业经验每人得2分，</w:t>
            </w:r>
            <w:r>
              <w:rPr>
                <w:rFonts w:ascii="宋体" w:hAnsi="宋体" w:eastAsia="宋体" w:cs="宋体"/>
                <w:sz w:val="24"/>
                <w:szCs w:val="24"/>
              </w:rPr>
              <w:t>最多得8分。</w:t>
            </w:r>
          </w:p>
          <w:p>
            <w:pPr>
              <w:numPr>
                <w:ilvl w:val="0"/>
                <w:numId w:val="0"/>
              </w:num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rPr>
              <w:t>注：须提供注册会计师证书原件，且证书上工作单位是报价供应商。</w:t>
            </w:r>
            <w:r>
              <w:rPr>
                <w:rFonts w:hint="eastAsia" w:ascii="宋体" w:hAnsi="宋体" w:eastAsia="宋体" w:cs="宋体"/>
                <w:sz w:val="24"/>
                <w:szCs w:val="24"/>
                <w:lang w:eastAsia="zh-CN"/>
              </w:rPr>
              <w:t>）</w:t>
            </w:r>
          </w:p>
        </w:tc>
        <w:tc>
          <w:tcPr>
            <w:tcW w:w="152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399" w:type="dxa"/>
            <w:vAlign w:val="center"/>
          </w:tcPr>
          <w:p>
            <w:pPr>
              <w:jc w:val="center"/>
              <w:rPr>
                <w:rFonts w:ascii="宋体" w:hAnsi="宋体" w:eastAsia="宋体" w:cs="宋体"/>
                <w:sz w:val="24"/>
                <w:szCs w:val="24"/>
              </w:rPr>
            </w:pPr>
            <w:r>
              <w:rPr>
                <w:rFonts w:ascii="宋体" w:hAnsi="宋体" w:eastAsia="宋体" w:cs="宋体"/>
                <w:sz w:val="24"/>
                <w:szCs w:val="24"/>
              </w:rPr>
              <w:t xml:space="preserve">公司同类业绩 </w:t>
            </w:r>
          </w:p>
          <w:p>
            <w:pPr>
              <w:jc w:val="center"/>
              <w:rPr>
                <w:rFonts w:hint="eastAsia" w:ascii="宋体" w:hAnsi="宋体" w:eastAsia="宋体" w:cs="宋体"/>
                <w:sz w:val="24"/>
                <w:szCs w:val="24"/>
                <w:vertAlign w:val="baseline"/>
                <w:lang w:eastAsia="zh-CN"/>
              </w:rPr>
            </w:pPr>
            <w:r>
              <w:rPr>
                <w:rFonts w:ascii="宋体" w:hAnsi="宋体" w:eastAsia="宋体" w:cs="宋体"/>
                <w:sz w:val="24"/>
                <w:szCs w:val="24"/>
              </w:rPr>
              <w:t>（</w:t>
            </w:r>
            <w:r>
              <w:rPr>
                <w:rFonts w:hint="eastAsia" w:ascii="宋体" w:hAnsi="宋体" w:eastAsia="宋体" w:cs="宋体"/>
                <w:sz w:val="24"/>
                <w:szCs w:val="24"/>
                <w:lang w:val="en-US" w:eastAsia="zh-CN"/>
              </w:rPr>
              <w:t>2</w:t>
            </w:r>
            <w:r>
              <w:rPr>
                <w:rFonts w:ascii="宋体" w:hAnsi="宋体" w:eastAsia="宋体" w:cs="宋体"/>
                <w:sz w:val="24"/>
                <w:szCs w:val="24"/>
              </w:rPr>
              <w:t>0分）</w:t>
            </w:r>
          </w:p>
        </w:tc>
        <w:tc>
          <w:tcPr>
            <w:tcW w:w="5316" w:type="dxa"/>
            <w:vAlign w:val="center"/>
          </w:tcPr>
          <w:p>
            <w:pPr>
              <w:jc w:val="both"/>
              <w:rPr>
                <w:rFonts w:hint="eastAsia" w:ascii="宋体" w:hAnsi="宋体" w:eastAsia="宋体" w:cs="宋体"/>
                <w:sz w:val="24"/>
                <w:szCs w:val="24"/>
                <w:vertAlign w:val="baseline"/>
                <w:lang w:eastAsia="zh-CN"/>
              </w:rPr>
            </w:pPr>
            <w:r>
              <w:rPr>
                <w:rFonts w:ascii="宋体" w:hAnsi="宋体" w:eastAsia="宋体" w:cs="宋体"/>
                <w:sz w:val="24"/>
                <w:szCs w:val="24"/>
              </w:rPr>
              <w:t>2017 年 1月1日（以业绩合同签订时间为准）至报价截止日， 供应商具有同类业绩合同，每提供一份得</w:t>
            </w:r>
            <w:r>
              <w:rPr>
                <w:rFonts w:hint="eastAsia" w:ascii="宋体" w:hAnsi="宋体" w:eastAsia="宋体" w:cs="宋体"/>
                <w:sz w:val="24"/>
                <w:szCs w:val="24"/>
                <w:lang w:val="en-US" w:eastAsia="zh-CN"/>
              </w:rPr>
              <w:t>2</w:t>
            </w:r>
            <w:r>
              <w:rPr>
                <w:rFonts w:ascii="宋体" w:hAnsi="宋体" w:eastAsia="宋体" w:cs="宋体"/>
                <w:sz w:val="24"/>
                <w:szCs w:val="24"/>
              </w:rPr>
              <w:t>分，最高</w:t>
            </w:r>
            <w:r>
              <w:rPr>
                <w:rFonts w:hint="eastAsia" w:ascii="宋体" w:hAnsi="宋体" w:eastAsia="宋体" w:cs="宋体"/>
                <w:sz w:val="24"/>
                <w:szCs w:val="24"/>
                <w:lang w:val="en-US" w:eastAsia="zh-CN"/>
              </w:rPr>
              <w:t>2</w:t>
            </w:r>
            <w:r>
              <w:rPr>
                <w:rFonts w:ascii="宋体" w:hAnsi="宋体" w:eastAsia="宋体" w:cs="宋体"/>
                <w:sz w:val="24"/>
                <w:szCs w:val="24"/>
              </w:rPr>
              <w:t>0分。注：复印件胶装至响应文件中并加盖供应商公章，否则不得分。</w:t>
            </w:r>
          </w:p>
        </w:tc>
        <w:tc>
          <w:tcPr>
            <w:tcW w:w="152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2</w:t>
            </w:r>
            <w:r>
              <w:rPr>
                <w:rFonts w:ascii="宋体" w:hAnsi="宋体" w:eastAsia="宋体" w:cs="宋体"/>
                <w:sz w:val="24"/>
                <w:szCs w:val="24"/>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99" w:type="dxa"/>
            <w:vMerge w:val="restart"/>
            <w:vAlign w:val="center"/>
          </w:tcPr>
          <w:p>
            <w:pPr>
              <w:jc w:val="center"/>
              <w:rPr>
                <w:rFonts w:ascii="宋体" w:hAnsi="宋体" w:eastAsia="宋体" w:cs="宋体"/>
                <w:sz w:val="24"/>
                <w:szCs w:val="24"/>
              </w:rPr>
            </w:pPr>
            <w:r>
              <w:rPr>
                <w:rFonts w:ascii="宋体" w:hAnsi="宋体" w:eastAsia="宋体" w:cs="宋体"/>
                <w:sz w:val="24"/>
                <w:szCs w:val="24"/>
              </w:rPr>
              <w:t xml:space="preserve">实施方案 </w:t>
            </w:r>
          </w:p>
          <w:p>
            <w:pPr>
              <w:jc w:val="center"/>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3分）</w:t>
            </w:r>
          </w:p>
        </w:tc>
        <w:tc>
          <w:tcPr>
            <w:tcW w:w="5316" w:type="dxa"/>
            <w:vAlign w:val="center"/>
          </w:tcPr>
          <w:p>
            <w:pPr>
              <w:jc w:val="both"/>
              <w:rPr>
                <w:rFonts w:hint="eastAsia" w:ascii="宋体" w:hAnsi="宋体" w:eastAsia="宋体" w:cs="宋体"/>
                <w:sz w:val="24"/>
                <w:szCs w:val="24"/>
                <w:vertAlign w:val="baseline"/>
                <w:lang w:eastAsia="zh-CN"/>
              </w:rPr>
            </w:pPr>
            <w:r>
              <w:rPr>
                <w:rFonts w:ascii="宋体" w:hAnsi="宋体" w:eastAsia="宋体" w:cs="宋体"/>
                <w:sz w:val="24"/>
                <w:szCs w:val="24"/>
              </w:rPr>
              <w:t>供应商承诺保密廉政执业措施，接受监督考核得 3分，无承诺不得分。</w:t>
            </w:r>
          </w:p>
        </w:tc>
        <w:tc>
          <w:tcPr>
            <w:tcW w:w="152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399" w:type="dxa"/>
            <w:vMerge w:val="continue"/>
            <w:vAlign w:val="center"/>
          </w:tcPr>
          <w:p>
            <w:pPr>
              <w:jc w:val="center"/>
              <w:rPr>
                <w:rFonts w:ascii="宋体" w:hAnsi="宋体" w:eastAsia="宋体" w:cs="宋体"/>
                <w:sz w:val="24"/>
                <w:szCs w:val="24"/>
              </w:rPr>
            </w:pPr>
          </w:p>
        </w:tc>
        <w:tc>
          <w:tcPr>
            <w:tcW w:w="5316" w:type="dxa"/>
            <w:vAlign w:val="center"/>
          </w:tcPr>
          <w:p>
            <w:pPr>
              <w:jc w:val="both"/>
              <w:rPr>
                <w:rFonts w:hint="eastAsia" w:ascii="宋体" w:hAnsi="宋体" w:eastAsia="宋体" w:cs="宋体"/>
                <w:sz w:val="24"/>
                <w:szCs w:val="24"/>
                <w:vertAlign w:val="baseline"/>
                <w:lang w:eastAsia="zh-CN"/>
              </w:rPr>
            </w:pPr>
            <w:r>
              <w:rPr>
                <w:rFonts w:ascii="宋体" w:hAnsi="宋体" w:eastAsia="宋体" w:cs="宋体"/>
                <w:sz w:val="24"/>
                <w:szCs w:val="24"/>
              </w:rPr>
              <w:t>结合招标业务范围制定实施方案，包括以下内容： 1、开展本次审计工作的程序和方案，得1-</w:t>
            </w:r>
            <w:r>
              <w:rPr>
                <w:rFonts w:hint="eastAsia" w:ascii="宋体" w:hAnsi="宋体" w:eastAsia="宋体" w:cs="宋体"/>
                <w:sz w:val="24"/>
                <w:szCs w:val="24"/>
                <w:lang w:val="en-US" w:eastAsia="zh-CN"/>
              </w:rPr>
              <w:t>10</w:t>
            </w:r>
            <w:r>
              <w:rPr>
                <w:rFonts w:ascii="宋体" w:hAnsi="宋体" w:eastAsia="宋体" w:cs="宋体"/>
                <w:sz w:val="24"/>
                <w:szCs w:val="24"/>
              </w:rPr>
              <w:t>分，响应文件无 此内容不得分；2、本次审计工作的重点、难点的分析及相应措施，得1-5分，响应文件无此内容不得分；3、质量保证措施的合理性、针对性，得1-</w:t>
            </w:r>
            <w:r>
              <w:rPr>
                <w:rFonts w:hint="eastAsia" w:ascii="宋体" w:hAnsi="宋体" w:eastAsia="宋体" w:cs="宋体"/>
                <w:sz w:val="24"/>
                <w:szCs w:val="24"/>
                <w:lang w:val="en-US" w:eastAsia="zh-CN"/>
              </w:rPr>
              <w:t>3</w:t>
            </w:r>
            <w:r>
              <w:rPr>
                <w:rFonts w:ascii="宋体" w:hAnsi="宋体" w:eastAsia="宋体" w:cs="宋体"/>
                <w:sz w:val="24"/>
                <w:szCs w:val="24"/>
              </w:rPr>
              <w:t>分，响应文件无此内容不得分；4、保密措施的完善程度和合理性，得1-2分，响应文件无此内容不得分；5、审计工作中反商业贿赂的具体措施，得 1-2分，响应文件 无此内容不得分；6、项目实施时间安排及进度保证措施，得 1-2 分，响应文件 无此内容不得分；</w:t>
            </w:r>
          </w:p>
        </w:tc>
        <w:tc>
          <w:tcPr>
            <w:tcW w:w="152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399" w:type="dxa"/>
            <w:vMerge w:val="continue"/>
            <w:vAlign w:val="center"/>
          </w:tcPr>
          <w:p>
            <w:pPr>
              <w:jc w:val="center"/>
              <w:rPr>
                <w:rFonts w:ascii="宋体" w:hAnsi="宋体" w:eastAsia="宋体" w:cs="宋体"/>
                <w:sz w:val="24"/>
                <w:szCs w:val="24"/>
              </w:rPr>
            </w:pPr>
          </w:p>
        </w:tc>
        <w:tc>
          <w:tcPr>
            <w:tcW w:w="5316" w:type="dxa"/>
            <w:vAlign w:val="center"/>
          </w:tcPr>
          <w:p>
            <w:pPr>
              <w:jc w:val="both"/>
              <w:rPr>
                <w:rFonts w:ascii="宋体" w:hAnsi="宋体" w:eastAsia="宋体" w:cs="宋体"/>
                <w:sz w:val="24"/>
                <w:szCs w:val="24"/>
              </w:rPr>
            </w:pPr>
            <w:r>
              <w:rPr>
                <w:rFonts w:ascii="宋体" w:hAnsi="宋体" w:eastAsia="宋体" w:cs="宋体"/>
                <w:sz w:val="24"/>
                <w:szCs w:val="24"/>
              </w:rPr>
              <w:t>组织协调实施应急预案：针对不同的情况有相关的工作预案</w:t>
            </w:r>
            <w:r>
              <w:rPr>
                <w:rFonts w:hint="eastAsia" w:ascii="宋体" w:hAnsi="宋体" w:eastAsia="宋体" w:cs="宋体"/>
                <w:sz w:val="24"/>
                <w:szCs w:val="24"/>
                <w:lang w:eastAsia="zh-CN"/>
              </w:rPr>
              <w:t>，</w:t>
            </w:r>
            <w:r>
              <w:rPr>
                <w:rFonts w:ascii="宋体" w:hAnsi="宋体" w:eastAsia="宋体" w:cs="宋体"/>
                <w:sz w:val="24"/>
                <w:szCs w:val="24"/>
              </w:rPr>
              <w:t>能及时、有效、稳妥的协调处理审计过程中遇到的问题，评委根据响应文件情况酌情得1-3分。</w:t>
            </w:r>
          </w:p>
        </w:tc>
        <w:tc>
          <w:tcPr>
            <w:tcW w:w="152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99" w:type="dxa"/>
            <w:vMerge w:val="continue"/>
            <w:vAlign w:val="center"/>
          </w:tcPr>
          <w:p>
            <w:pPr>
              <w:jc w:val="center"/>
              <w:rPr>
                <w:rFonts w:ascii="宋体" w:hAnsi="宋体" w:eastAsia="宋体" w:cs="宋体"/>
                <w:sz w:val="24"/>
                <w:szCs w:val="24"/>
              </w:rPr>
            </w:pPr>
          </w:p>
        </w:tc>
        <w:tc>
          <w:tcPr>
            <w:tcW w:w="5316" w:type="dxa"/>
            <w:vAlign w:val="center"/>
          </w:tcPr>
          <w:p>
            <w:pPr>
              <w:jc w:val="both"/>
              <w:rPr>
                <w:rFonts w:ascii="宋体" w:hAnsi="宋体" w:eastAsia="宋体" w:cs="宋体"/>
                <w:sz w:val="24"/>
                <w:szCs w:val="24"/>
              </w:rPr>
            </w:pPr>
            <w:r>
              <w:rPr>
                <w:rFonts w:ascii="宋体" w:hAnsi="宋体" w:eastAsia="宋体" w:cs="宋体"/>
                <w:sz w:val="24"/>
                <w:szCs w:val="24"/>
              </w:rPr>
              <w:t>后续服务承诺及保证措施：后续服务承诺及保证措施可行、周密、响应及时得1-3分。</w:t>
            </w:r>
          </w:p>
        </w:tc>
        <w:tc>
          <w:tcPr>
            <w:tcW w:w="152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3分</w:t>
            </w:r>
          </w:p>
        </w:tc>
      </w:tr>
    </w:tbl>
    <w:p>
      <w:pPr>
        <w:rPr>
          <w:rFonts w:hint="eastAsia" w:ascii="宋体" w:hAnsi="宋体" w:eastAsia="宋体" w:cs="宋体"/>
          <w:sz w:val="24"/>
          <w:szCs w:val="24"/>
          <w:lang w:eastAsia="zh-CN"/>
        </w:rPr>
      </w:pPr>
    </w:p>
    <w:p>
      <w:pPr>
        <w:pStyle w:val="8"/>
        <w:spacing w:line="480" w:lineRule="auto"/>
        <w:ind w:firstLine="252" w:firstLineChars="100"/>
        <w:rPr>
          <w:rFonts w:hint="eastAsia" w:ascii="宋体" w:hAnsi="宋体" w:eastAsia="宋体" w:cs="宋体"/>
          <w:sz w:val="24"/>
          <w:szCs w:val="24"/>
          <w:lang w:eastAsia="zh-CN"/>
        </w:rPr>
      </w:pPr>
    </w:p>
    <w:p>
      <w:pPr>
        <w:pStyle w:val="8"/>
        <w:spacing w:line="480" w:lineRule="auto"/>
        <w:ind w:firstLine="252" w:firstLineChars="100"/>
        <w:rPr>
          <w:rFonts w:hint="eastAsia" w:ascii="宋体" w:hAnsi="宋体" w:eastAsia="宋体" w:cs="宋体"/>
          <w:sz w:val="24"/>
          <w:szCs w:val="24"/>
          <w:lang w:eastAsia="zh-CN"/>
        </w:rPr>
      </w:pPr>
    </w:p>
    <w:p>
      <w:pPr>
        <w:pStyle w:val="8"/>
        <w:spacing w:line="480" w:lineRule="auto"/>
        <w:ind w:firstLine="252" w:firstLineChars="100"/>
        <w:rPr>
          <w:rFonts w:hint="eastAsia" w:ascii="宋体" w:hAnsi="宋体" w:eastAsia="宋体" w:cs="宋体"/>
          <w:sz w:val="24"/>
          <w:szCs w:val="24"/>
          <w:lang w:eastAsia="zh-CN"/>
        </w:rPr>
      </w:pPr>
    </w:p>
    <w:p>
      <w:pPr>
        <w:pStyle w:val="8"/>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备注：中小企业评分办法 </w:t>
      </w: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1） 根据《政府采购促进中小企业发展暂行办法》的规定，本项目磋商小组在综合评分时将给予中小企业的评审价格6%的价格扣除；中小企业将以扣除后的评审价格参与评审； </w:t>
      </w: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2）小型、微型企业价格需扣除的，须提供：（未按要求提供声明函原件及相关证明材料的，将不给予价格扣除的政策优惠；）</w:t>
      </w: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①《中小企业声明函》、《从业人员声明函》及企业所在地县级以上中小企业主管部门出具的认定书原件；②上一年度资产负债表、损益表的复印件。③如供应商为监狱企业，须提供省级以上监狱管理局、戒毒管理局（含新疆生产建设兵团）出具的属于监狱企业的证明文件复印件。</w:t>
      </w: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注：各供应商如为小型、微型企业则须提供供应商的上述资料。</w:t>
      </w: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3）具体计算方式为：小微企业的评审价格=其投标报价-投标报价*扣除比例；</w:t>
      </w: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4）如发现供应商不如实填写小微企业声明函及提供真实的证明材料的，如成交将取消成交资格；同时采购人及采购代理机构有权向行政监督部门申请将其列入不诚信供应商名单并停止其参与一定期限的政府采购活动。 </w:t>
      </w:r>
    </w:p>
    <w:p>
      <w:pPr>
        <w:pStyle w:val="8"/>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5）评审价格仅为评定价格，不作为最终的成交价格。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36DD1"/>
    <w:rsid w:val="58CE1258"/>
    <w:rsid w:val="5F6905AA"/>
    <w:rsid w:val="7010705B"/>
    <w:rsid w:val="7248741E"/>
    <w:rsid w:val="7A5F2C9D"/>
    <w:rsid w:val="7A6F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29"/>
    <w:basedOn w:val="1"/>
    <w:qFormat/>
    <w:uiPriority w:val="0"/>
    <w:pPr>
      <w:widowControl/>
      <w:spacing w:line="440" w:lineRule="exact"/>
      <w:ind w:firstLine="200" w:firstLineChars="200"/>
      <w:jc w:val="left"/>
    </w:pPr>
    <w:rPr>
      <w:rFonts w:eastAsia="楷体_GB2312"/>
      <w:spacing w:val="6"/>
      <w:kern w:val="0"/>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2021-02-01T05:45:00Z</dcterms:created>
  <dc:creator>lenovo</dc:creator>
  <lastModifiedBy>阳光左岸</lastModifiedBy>
  <lastPrinted>2021-02-01T05:45:00Z</lastPrinted>
  <dcterms:modified xsi:type="dcterms:W3CDTF">2021-02-25T00:31:35Z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